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right="-476.6929133858275"/>
        <w:rPr/>
      </w:pPr>
      <w:bookmarkStart w:colFirst="0" w:colLast="0" w:name="_knp0nwh6tvzs" w:id="0"/>
      <w:bookmarkEnd w:id="0"/>
      <w:r w:rsidDel="00000000" w:rsidR="00000000" w:rsidRPr="00000000">
        <w:rPr>
          <w:b w:val="1"/>
          <w:sz w:val="38"/>
          <w:szCs w:val="38"/>
          <w:rtl w:val="0"/>
        </w:rPr>
        <w:t xml:space="preserve">Fármacos que NO producen hipoglucemia con control inestable</w:t>
        <w:tab/>
      </w: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5167.62204724409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6.8031496062995"/>
        <w:gridCol w:w="2166.8031496062995"/>
        <w:gridCol w:w="2166.8031496062995"/>
        <w:gridCol w:w="2166.8031496062995"/>
        <w:gridCol w:w="2166.8031496062995"/>
        <w:gridCol w:w="2166.8031496062995"/>
        <w:gridCol w:w="2166.8031496062995"/>
        <w:tblGridChange w:id="0">
          <w:tblGrid>
            <w:gridCol w:w="2166.8031496062995"/>
            <w:gridCol w:w="2166.8031496062995"/>
            <w:gridCol w:w="2166.8031496062995"/>
            <w:gridCol w:w="2166.8031496062995"/>
            <w:gridCol w:w="2166.8031496062995"/>
            <w:gridCol w:w="2166.8031496062995"/>
            <w:gridCol w:w="2166.803149606299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vMerge w:val="restart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Fecha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Desayuno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Comida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Cena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vMerge w:val="continue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horas después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horas después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horas después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Martes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Miércoles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Jueves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Viernes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Sábado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Domingo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color w:val="fff9f9"/>
                <w:sz w:val="28"/>
                <w:szCs w:val="28"/>
              </w:rPr>
            </w:pPr>
            <w:r w:rsidDel="00000000" w:rsidR="00000000" w:rsidRPr="00000000">
              <w:rPr>
                <w:color w:val="fff9f9"/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Perfil semanal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429.68503937007995" w:top="566.9291338582677" w:left="566.9291338582677" w:right="684.448818897639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